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70073" w14:textId="77777777" w:rsidR="00287E29" w:rsidRDefault="006202C2">
      <w:pPr>
        <w:pStyle w:val="Heading1"/>
      </w:pPr>
      <w:r>
        <w:t>Comments on IFRS IC Tentative Agenda Decisions (September 2026)</w:t>
      </w:r>
    </w:p>
    <w:p w14:paraId="34E1AF84" w14:textId="77777777" w:rsidR="00287E29" w:rsidRDefault="006202C2">
      <w:r>
        <w:t>Dear Sir / Madam,</w:t>
      </w:r>
    </w:p>
    <w:p w14:paraId="51172AE7" w14:textId="77777777" w:rsidR="00287E29" w:rsidRDefault="006202C2">
      <w:r>
        <w:t xml:space="preserve">We welcome the opportunity to comment on the three Tentative Agenda Decisions (TADs) hosted by the ASB for public comment. Because Ind AS are converged with IFRS Accounting </w:t>
      </w:r>
      <w:r>
        <w:t>Standards, these decisions will shape practice for Indian entities, so our comments note Indian fact patterns where relevant.</w:t>
      </w:r>
    </w:p>
    <w:tbl>
      <w:tblPr>
        <w:tblStyle w:val="TableGrid"/>
        <w:tblW w:w="0" w:type="auto"/>
        <w:tblLayout w:type="fixed"/>
        <w:tblLook w:val="0420" w:firstRow="1" w:lastRow="0" w:firstColumn="0" w:lastColumn="0" w:noHBand="0" w:noVBand="1"/>
      </w:tblPr>
      <w:tblGrid>
        <w:gridCol w:w="3120"/>
        <w:gridCol w:w="3120"/>
        <w:gridCol w:w="3120"/>
      </w:tblGrid>
      <w:tr w:rsidR="00287E29" w14:paraId="46751439" w14:textId="77777777">
        <w:trPr>
          <w:tblHeader/>
        </w:trPr>
        <w:tc>
          <w:tcPr>
            <w:tcW w:w="3120" w:type="dxa"/>
            <w:shd w:val="clear" w:color="auto" w:fill="F2F2F2"/>
          </w:tcPr>
          <w:p w14:paraId="00D5B27E" w14:textId="77777777" w:rsidR="00287E29" w:rsidRDefault="006202C2">
            <w:r>
              <w:t>TAD</w:t>
            </w:r>
          </w:p>
        </w:tc>
        <w:tc>
          <w:tcPr>
            <w:tcW w:w="3120" w:type="dxa"/>
            <w:shd w:val="clear" w:color="auto" w:fill="F2F2F2"/>
          </w:tcPr>
          <w:p w14:paraId="212D45B2" w14:textId="77777777" w:rsidR="00287E29" w:rsidRDefault="006202C2">
            <w:r>
              <w:t>Standard</w:t>
            </w:r>
          </w:p>
        </w:tc>
        <w:tc>
          <w:tcPr>
            <w:tcW w:w="3120" w:type="dxa"/>
            <w:shd w:val="clear" w:color="auto" w:fill="F2F2F2"/>
          </w:tcPr>
          <w:p w14:paraId="60D780CD" w14:textId="77777777" w:rsidR="00287E29" w:rsidRDefault="006202C2">
            <w:r>
              <w:t>Our view</w:t>
            </w:r>
          </w:p>
        </w:tc>
      </w:tr>
      <w:tr w:rsidR="00287E29" w14:paraId="1CF20E06" w14:textId="77777777">
        <w:tc>
          <w:tcPr>
            <w:tcW w:w="3120" w:type="dxa"/>
          </w:tcPr>
          <w:p w14:paraId="1495A57A" w14:textId="77777777" w:rsidR="00287E29" w:rsidRDefault="006202C2">
            <w:r>
              <w:t>Assets that Generate a Return Individually and Largely Independently of an Entity's Other Resources</w:t>
            </w:r>
          </w:p>
        </w:tc>
        <w:tc>
          <w:tcPr>
            <w:tcW w:w="3120" w:type="dxa"/>
          </w:tcPr>
          <w:p w14:paraId="4BF9F9D5" w14:textId="77777777" w:rsidR="00287E29" w:rsidRDefault="006202C2">
            <w:r>
              <w:t>IFRS 18</w:t>
            </w:r>
          </w:p>
        </w:tc>
        <w:tc>
          <w:tcPr>
            <w:tcW w:w="3120" w:type="dxa"/>
          </w:tcPr>
          <w:p w14:paraId="4FF24947" w14:textId="77777777" w:rsidR="00287E29" w:rsidRDefault="006202C2">
            <w:r>
              <w:t>Agree, with suggested additions</w:t>
            </w:r>
          </w:p>
        </w:tc>
      </w:tr>
    </w:tbl>
    <w:p w14:paraId="74D13609" w14:textId="77777777" w:rsidR="00287E29" w:rsidRDefault="006202C2">
      <w:pPr>
        <w:pStyle w:val="Heading2"/>
      </w:pPr>
      <w:r>
        <w:t xml:space="preserve">1. Assets that Generate a Return Individually </w:t>
      </w:r>
      <w:r>
        <w:t>and Largely Independently of an Entity's Other Resources (IFRS 18)</w:t>
      </w:r>
    </w:p>
    <w:p w14:paraId="1912FE38" w14:textId="77777777" w:rsidR="00287E29" w:rsidRDefault="006202C2">
      <w:r>
        <w:rPr>
          <w:b/>
        </w:rPr>
        <w:t>Our view: we agree</w:t>
      </w:r>
      <w:r>
        <w:t xml:space="preserve"> that paragraph 53(c) and paragraphs B45–B49 of IFRS 18 provide an adequate basis for the assessment, and that no standard-setting project is needed.</w:t>
      </w:r>
    </w:p>
    <w:p w14:paraId="08AF6311" w14:textId="77777777" w:rsidR="00287E29" w:rsidRDefault="006202C2">
      <w:r>
        <w:t>We particularly suppo</w:t>
      </w:r>
      <w:r>
        <w:t>rt two observations. First, that some interaction with the entity's other resources (for example, maintaining an investment property) does not by itself prevent an asset from generating a return "individually and largely independently". Second, that the de</w:t>
      </w:r>
      <w:r>
        <w:t>bt instruments listed in paragraph B48 are those arising from the production or supply of goods or services to a customer. Both will reduce diversity as entities transition to IFRS 18 from 1 January 2027.</w:t>
      </w:r>
    </w:p>
    <w:p w14:paraId="4B7849E8" w14:textId="77777777" w:rsidR="00287E29" w:rsidRDefault="006202C2">
      <w:r>
        <w:rPr>
          <w:b/>
        </w:rPr>
        <w:t>Suggestions to improve the final agenda decision:</w:t>
      </w:r>
    </w:p>
    <w:p w14:paraId="60B8351A" w14:textId="77777777" w:rsidR="00287E29" w:rsidRDefault="006202C2">
      <w:pPr>
        <w:pStyle w:val="ListParagraph"/>
        <w:numPr>
          <w:ilvl w:val="0"/>
          <w:numId w:val="2"/>
        </w:numPr>
      </w:pPr>
      <w:r>
        <w:rPr>
          <w:b/>
        </w:rPr>
        <w:t>L</w:t>
      </w:r>
      <w:r>
        <w:rPr>
          <w:b/>
        </w:rPr>
        <w:t>ink to the specified main business activity assessment.</w:t>
      </w:r>
      <w:r>
        <w:t xml:space="preserve"> The request came from an investment fund, for which investing is often a main business activity. We suggest the decision state explicitly how the paragraph 53(c) conclusion feeds into the paragraph 49</w:t>
      </w:r>
      <w:r>
        <w:t xml:space="preserve"> assessment of whether the fund invests in assets "of the type" specified in paragraph 53, and therefore into the classification required by paragraphs 55–58. Without this link, readers may take the decision as concluding on investing-category classificati</w:t>
      </w:r>
      <w:r>
        <w:t>on for the fund, which it does not.</w:t>
      </w:r>
    </w:p>
    <w:p w14:paraId="15DA0EE6" w14:textId="77777777" w:rsidR="00287E29" w:rsidRDefault="006202C2">
      <w:pPr>
        <w:pStyle w:val="ListParagraph"/>
        <w:numPr>
          <w:ilvl w:val="0"/>
          <w:numId w:val="2"/>
        </w:numPr>
      </w:pPr>
      <w:r>
        <w:rPr>
          <w:b/>
        </w:rPr>
        <w:t>Operating entities' financial assets that support operations.</w:t>
      </w:r>
      <w:r>
        <w:t xml:space="preserve"> In India, operating entities commonly hold financial assets that are neither trade receivables nor loans to customers but are closely tied to operations. Exam</w:t>
      </w:r>
      <w:r>
        <w:t>ples are security deposits paid to landlords and electricity utilities, margin money deposits placed with banks to support letters of credit and guarantees, and advances to suppliers. We suggest the decision explain whether the "used in combination to prod</w:t>
      </w:r>
      <w:r>
        <w:t>uce or supply goods or services" test in paragraph B48 can apply to such assets, or whether they typically fall within paragraph B46(a) as debt investments.</w:t>
      </w:r>
    </w:p>
    <w:p w14:paraId="697A48F8" w14:textId="77777777" w:rsidR="00287E29" w:rsidRDefault="006202C2">
      <w:pPr>
        <w:pStyle w:val="ListParagraph"/>
        <w:numPr>
          <w:ilvl w:val="0"/>
          <w:numId w:val="2"/>
        </w:numPr>
      </w:pPr>
      <w:r>
        <w:rPr>
          <w:b/>
        </w:rPr>
        <w:t>Strategic and treasury investments.</w:t>
      </w:r>
      <w:r>
        <w:t xml:space="preserve"> We suggest a sentence confirming that the purpose for holding a</w:t>
      </w:r>
      <w:r>
        <w:t xml:space="preserve">n investment (for example, an equity stake in a key supplier, or surplus funds placed in </w:t>
      </w:r>
      <w:r>
        <w:lastRenderedPageBreak/>
        <w:t>mutual funds for liquidity management) does not by itself change the assessment, so long as the return is generated individually and largely independently.</w:t>
      </w:r>
    </w:p>
    <w:p w14:paraId="134E53DF" w14:textId="77777777" w:rsidR="00287E29" w:rsidRDefault="006202C2">
      <w:pPr>
        <w:pStyle w:val="ListParagraph"/>
        <w:numPr>
          <w:ilvl w:val="0"/>
          <w:numId w:val="2"/>
        </w:numPr>
      </w:pPr>
      <w:r>
        <w:rPr>
          <w:b/>
        </w:rPr>
        <w:t>Degree of i</w:t>
      </w:r>
      <w:r>
        <w:rPr>
          <w:b/>
        </w:rPr>
        <w:t>nteraction.</w:t>
      </w:r>
      <w:r>
        <w:t xml:space="preserve"> The investment property example is helpful. A contrasting example where interaction is too significant (for example, a property in which the entity provides significant ancillary services) would help preparers locate the boundary.</w:t>
      </w:r>
      <w:bookmarkStart w:id="0" w:name="_GoBack"/>
      <w:bookmarkEnd w:id="0"/>
    </w:p>
    <w:sectPr w:rsidR="00287E2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966B6"/>
    <w:multiLevelType w:val="hybridMultilevel"/>
    <w:tmpl w:val="3D2ACB16"/>
    <w:lvl w:ilvl="0" w:tplc="8D764A1E">
      <w:start w:val="1"/>
      <w:numFmt w:val="bullet"/>
      <w:lvlText w:val="•"/>
      <w:lvlJc w:val="left"/>
      <w:pPr>
        <w:ind w:left="720" w:hanging="360"/>
      </w:pPr>
    </w:lvl>
    <w:lvl w:ilvl="1" w:tplc="E4E4C59E">
      <w:start w:val="1"/>
      <w:numFmt w:val="bullet"/>
      <w:lvlText w:val="o"/>
      <w:lvlJc w:val="left"/>
      <w:pPr>
        <w:ind w:left="1440" w:hanging="360"/>
      </w:pPr>
    </w:lvl>
    <w:lvl w:ilvl="2" w:tplc="BC349538">
      <w:start w:val="1"/>
      <w:numFmt w:val="bullet"/>
      <w:lvlText w:val="▪"/>
      <w:lvlJc w:val="left"/>
      <w:pPr>
        <w:ind w:left="2160" w:hanging="360"/>
      </w:pPr>
    </w:lvl>
    <w:lvl w:ilvl="3" w:tplc="1F6841B4">
      <w:start w:val="1"/>
      <w:numFmt w:val="bullet"/>
      <w:lvlText w:val="•"/>
      <w:lvlJc w:val="left"/>
      <w:pPr>
        <w:ind w:left="2880" w:hanging="360"/>
      </w:pPr>
    </w:lvl>
    <w:lvl w:ilvl="4" w:tplc="FB3E3C84">
      <w:start w:val="1"/>
      <w:numFmt w:val="bullet"/>
      <w:lvlText w:val="o"/>
      <w:lvlJc w:val="left"/>
      <w:pPr>
        <w:ind w:left="3600" w:hanging="360"/>
      </w:pPr>
    </w:lvl>
    <w:lvl w:ilvl="5" w:tplc="1D7A41E6">
      <w:start w:val="1"/>
      <w:numFmt w:val="bullet"/>
      <w:lvlText w:val="▪"/>
      <w:lvlJc w:val="left"/>
      <w:pPr>
        <w:ind w:left="4320" w:hanging="360"/>
      </w:pPr>
    </w:lvl>
    <w:lvl w:ilvl="6" w:tplc="7A2C4DA8">
      <w:start w:val="1"/>
      <w:numFmt w:val="bullet"/>
      <w:lvlText w:val="•"/>
      <w:lvlJc w:val="left"/>
      <w:pPr>
        <w:ind w:left="5040" w:hanging="360"/>
      </w:pPr>
    </w:lvl>
    <w:lvl w:ilvl="7" w:tplc="75C470DE">
      <w:start w:val="1"/>
      <w:numFmt w:val="bullet"/>
      <w:lvlText w:val="o"/>
      <w:lvlJc w:val="left"/>
      <w:pPr>
        <w:ind w:left="5760" w:hanging="360"/>
      </w:pPr>
    </w:lvl>
    <w:lvl w:ilvl="8" w:tplc="57A0F0DC">
      <w:start w:val="1"/>
      <w:numFmt w:val="bullet"/>
      <w:lvlText w:val="▪"/>
      <w:lvlJc w:val="left"/>
      <w:pPr>
        <w:ind w:left="6480" w:hanging="360"/>
      </w:pPr>
    </w:lvl>
  </w:abstractNum>
  <w:abstractNum w:abstractNumId="1" w15:restartNumberingAfterBreak="0">
    <w:nsid w:val="43F011D7"/>
    <w:multiLevelType w:val="hybridMultilevel"/>
    <w:tmpl w:val="45F07BC2"/>
    <w:lvl w:ilvl="0" w:tplc="209A3B46">
      <w:start w:val="1"/>
      <w:numFmt w:val="decimal"/>
      <w:lvlText w:val="%1."/>
      <w:lvlJc w:val="left"/>
      <w:pPr>
        <w:ind w:left="720" w:hanging="360"/>
      </w:pPr>
    </w:lvl>
    <w:lvl w:ilvl="1" w:tplc="58F04902">
      <w:start w:val="1"/>
      <w:numFmt w:val="lowerLetter"/>
      <w:lvlText w:val="%2."/>
      <w:lvlJc w:val="left"/>
      <w:pPr>
        <w:ind w:left="1440" w:hanging="360"/>
      </w:pPr>
    </w:lvl>
    <w:lvl w:ilvl="2" w:tplc="4942E360">
      <w:start w:val="1"/>
      <w:numFmt w:val="lowerRoman"/>
      <w:lvlText w:val="%3."/>
      <w:lvlJc w:val="left"/>
      <w:pPr>
        <w:ind w:left="2160" w:hanging="360"/>
      </w:pPr>
    </w:lvl>
    <w:lvl w:ilvl="3" w:tplc="82545E06">
      <w:start w:val="1"/>
      <w:numFmt w:val="decimal"/>
      <w:lvlText w:val="%4."/>
      <w:lvlJc w:val="left"/>
      <w:pPr>
        <w:ind w:left="2880" w:hanging="360"/>
      </w:pPr>
    </w:lvl>
    <w:lvl w:ilvl="4" w:tplc="7278C932">
      <w:start w:val="1"/>
      <w:numFmt w:val="lowerLetter"/>
      <w:lvlText w:val="%5."/>
      <w:lvlJc w:val="left"/>
      <w:pPr>
        <w:ind w:left="3600" w:hanging="360"/>
      </w:pPr>
    </w:lvl>
    <w:lvl w:ilvl="5" w:tplc="417216C0">
      <w:start w:val="1"/>
      <w:numFmt w:val="lowerRoman"/>
      <w:lvlText w:val="%6."/>
      <w:lvlJc w:val="left"/>
      <w:pPr>
        <w:ind w:left="4320" w:hanging="360"/>
      </w:pPr>
    </w:lvl>
    <w:lvl w:ilvl="6" w:tplc="29AC35BA">
      <w:start w:val="1"/>
      <w:numFmt w:val="decimal"/>
      <w:lvlText w:val="%7."/>
      <w:lvlJc w:val="left"/>
      <w:pPr>
        <w:ind w:left="5040" w:hanging="360"/>
      </w:pPr>
    </w:lvl>
    <w:lvl w:ilvl="7" w:tplc="7F267CA6">
      <w:start w:val="1"/>
      <w:numFmt w:val="lowerLetter"/>
      <w:lvlText w:val="%8."/>
      <w:lvlJc w:val="left"/>
      <w:pPr>
        <w:ind w:left="5760" w:hanging="360"/>
      </w:pPr>
    </w:lvl>
    <w:lvl w:ilvl="8" w:tplc="72C2DBF6">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87E29"/>
    <w:rsid w:val="00287E29"/>
    <w:rsid w:val="006202C2"/>
    <w:rsid w:val="009B740E"/>
    <w:rsid w:val="00CF6981"/>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AC2C0"/>
  <w15:docId w15:val="{CF813A1F-4E6C-423F-BFC2-1450642B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2670</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IFRS IC Tentative Agenda Decisions (September 2026)</dc:title>
  <dc:description>Claude Docs node/6e518e1b-8e49@6 docx-w6</dc:description>
  <cp:lastModifiedBy>Admin</cp:lastModifiedBy>
  <cp:revision>8</cp:revision>
  <dcterms:created xsi:type="dcterms:W3CDTF">2026-10-08T12:53:00Z</dcterms:created>
  <dcterms:modified xsi:type="dcterms:W3CDTF">2026-10-09T11:52:00Z</dcterms:modified>
</cp:coreProperties>
</file>